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81" w:rsidRDefault="007B0F81" w:rsidP="006353D4">
      <w:pPr>
        <w:widowControl w:val="0"/>
        <w:autoSpaceDE w:val="0"/>
        <w:autoSpaceDN w:val="0"/>
        <w:adjustRightInd w:val="0"/>
        <w:spacing w:before="34"/>
        <w:ind w:right="3653"/>
        <w:rPr>
          <w:color w:val="000000"/>
          <w:sz w:val="26"/>
          <w:szCs w:val="26"/>
        </w:rPr>
      </w:pPr>
      <w:bookmarkStart w:id="0" w:name="_GoBack"/>
      <w:bookmarkEnd w:id="0"/>
      <w:r w:rsidRPr="007B0F81">
        <w:rPr>
          <w:b/>
          <w:color w:val="2E2014"/>
          <w:sz w:val="20"/>
          <w:szCs w:val="20"/>
        </w:rPr>
        <w:t xml:space="preserve">                                                                  </w:t>
      </w:r>
      <w:r w:rsidR="00062D81" w:rsidRPr="007B0F81">
        <w:rPr>
          <w:b/>
          <w:color w:val="2E2014"/>
          <w:sz w:val="20"/>
          <w:szCs w:val="20"/>
        </w:rPr>
        <w:t>INFORMACJA DODATKOWA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062D81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594518" w:rsidRDefault="009E4452" w:rsidP="009E44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Zespół Szkół Zawodowych im. Jana Liszewskiego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594518" w:rsidRDefault="0064412A" w:rsidP="00594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518">
              <w:rPr>
                <w:b/>
              </w:rPr>
              <w:t>Braniewo</w:t>
            </w: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594518">
            <w:pPr>
              <w:widowControl w:val="0"/>
              <w:autoSpaceDE w:val="0"/>
              <w:autoSpaceDN w:val="0"/>
              <w:adjustRightInd w:val="0"/>
            </w:pPr>
            <w:r>
              <w:t xml:space="preserve">14-500 Braniewo </w:t>
            </w:r>
            <w:r w:rsidR="009E4452">
              <w:t>ul. Gdańska 19</w:t>
            </w: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64412A" w:rsidP="009E4452">
            <w:pPr>
              <w:widowControl w:val="0"/>
              <w:autoSpaceDE w:val="0"/>
              <w:autoSpaceDN w:val="0"/>
              <w:adjustRightInd w:val="0"/>
            </w:pPr>
            <w:r>
              <w:t>Administracja publiczna</w:t>
            </w:r>
            <w:r w:rsidR="009E4452">
              <w:t xml:space="preserve"> - Oświata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594518" w:rsidRDefault="0064412A" w:rsidP="00594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518">
              <w:rPr>
                <w:b/>
              </w:rPr>
              <w:t>01-01-2018 r. do 31-12-2018 r.</w:t>
            </w:r>
          </w:p>
        </w:tc>
      </w:tr>
      <w:tr w:rsidR="00062D81" w:rsidTr="00F04EBC">
        <w:trPr>
          <w:trHeight w:hRule="exact" w:val="678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  <w:r w:rsidR="00F04EBC">
              <w:rPr>
                <w:color w:val="2E2014"/>
                <w:sz w:val="20"/>
                <w:szCs w:val="20"/>
              </w:rPr>
              <w:t>, jeżeli w skład jednostki nadrzędnej lub jednostki samorządu terytorialnego wchodzą jednostki sporządzające samodzielne sprawozdanie finansowe</w:t>
            </w:r>
          </w:p>
          <w:p w:rsidR="00F04EBC" w:rsidRDefault="00F04EBC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</w:p>
        </w:tc>
      </w:tr>
      <w:tr w:rsidR="00062D81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9E4452" w:rsidRDefault="006441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52">
              <w:rPr>
                <w:sz w:val="22"/>
                <w:szCs w:val="22"/>
              </w:rPr>
              <w:t xml:space="preserve">Sprawozdanie zawiera dane jednostki </w:t>
            </w:r>
            <w:r w:rsidR="009E4452" w:rsidRPr="009E4452">
              <w:rPr>
                <w:sz w:val="22"/>
                <w:szCs w:val="22"/>
              </w:rPr>
              <w:t>Zespołu Szkół Zawodowych im. Jana Liszewskiego w Braniewie</w:t>
            </w: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  <w:p w:rsidR="007B0F81" w:rsidRDefault="007B0F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:rsidR="007B0F81" w:rsidRDefault="007B0F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:rsidR="006B1368" w:rsidRDefault="006B1368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</w:p>
        </w:tc>
      </w:tr>
      <w:tr w:rsidR="00062D81" w:rsidTr="00C66798">
        <w:trPr>
          <w:trHeight w:hRule="exact" w:val="80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Pr="00F549C9" w:rsidRDefault="00062D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64412A" w:rsidRPr="00BE4ACA" w:rsidRDefault="0064412A" w:rsidP="007B0F81">
            <w:pPr>
              <w:rPr>
                <w:sz w:val="20"/>
                <w:szCs w:val="20"/>
              </w:rPr>
            </w:pPr>
            <w:r w:rsidRPr="00BE4ACA">
              <w:rPr>
                <w:sz w:val="20"/>
                <w:szCs w:val="20"/>
              </w:rPr>
              <w:t>Rachunkowość jednostki prowadzona jest zgodnie z przepisami o rachunkowości z uwzględnieniem za</w:t>
            </w:r>
            <w:r w:rsidR="00B24B1A">
              <w:rPr>
                <w:sz w:val="20"/>
                <w:szCs w:val="20"/>
              </w:rPr>
              <w:t>sad szczególnych określonych w r</w:t>
            </w:r>
            <w:r w:rsidRPr="00BE4ACA">
              <w:rPr>
                <w:sz w:val="20"/>
                <w:szCs w:val="20"/>
              </w:rPr>
              <w:t>ozporządzeniu Ministra Rozwoju i Finansów z dnia 13.09.2017 r.</w:t>
            </w:r>
          </w:p>
          <w:p w:rsidR="0064412A" w:rsidRPr="00BE4ACA" w:rsidRDefault="006441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4ACA">
              <w:rPr>
                <w:b/>
                <w:sz w:val="20"/>
                <w:szCs w:val="20"/>
              </w:rPr>
              <w:t>Wycena aktywów i pasywów</w:t>
            </w:r>
          </w:p>
          <w:p w:rsidR="004B68F9" w:rsidRPr="00BE4ACA" w:rsidRDefault="004B68F9" w:rsidP="0064412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b/>
                <w:sz w:val="20"/>
                <w:szCs w:val="20"/>
              </w:rPr>
              <w:t>Ś</w:t>
            </w:r>
            <w:r w:rsidR="0064412A" w:rsidRPr="00BE4ACA">
              <w:rPr>
                <w:b/>
                <w:sz w:val="20"/>
                <w:szCs w:val="20"/>
              </w:rPr>
              <w:t>rodki trwałe</w:t>
            </w:r>
            <w:r w:rsidR="0064412A" w:rsidRPr="00BE4ACA">
              <w:rPr>
                <w:sz w:val="20"/>
                <w:szCs w:val="20"/>
              </w:rPr>
              <w:t xml:space="preserve"> wycenia się według: ceny nabycia w przypadku zakupu, w przypadku</w:t>
            </w:r>
          </w:p>
          <w:p w:rsidR="00062D81" w:rsidRPr="00BE4ACA" w:rsidRDefault="004B68F9" w:rsidP="004B68F9">
            <w:pPr>
              <w:pStyle w:val="Akapitzlist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sz w:val="20"/>
                <w:szCs w:val="20"/>
              </w:rPr>
              <w:t>nieodpłatnego otrzymania lub otrzymania z mocy prawa w wysokości określonej w decyzji lub dowodzie przekazania.</w:t>
            </w:r>
          </w:p>
          <w:p w:rsidR="004B68F9" w:rsidRPr="009E4452" w:rsidRDefault="004B68F9" w:rsidP="009E445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452">
              <w:rPr>
                <w:b/>
                <w:sz w:val="20"/>
                <w:szCs w:val="20"/>
              </w:rPr>
              <w:t xml:space="preserve"> Wartości niematerialne i prawne:</w:t>
            </w:r>
            <w:r w:rsidRPr="009E4452">
              <w:rPr>
                <w:sz w:val="20"/>
                <w:szCs w:val="20"/>
              </w:rPr>
              <w:t xml:space="preserve"> wycenia się według ceny nabycia w przypadku zakupu, w przypadku nieodpłatnego otrzymania lub otrzymania z mocy prawa w wysokości określonej w decyzji lub dowodzie przekazania.</w:t>
            </w:r>
          </w:p>
          <w:p w:rsidR="004B68F9" w:rsidRPr="00BE4ACA" w:rsidRDefault="004B68F9" w:rsidP="004B68F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b/>
                <w:sz w:val="20"/>
                <w:szCs w:val="20"/>
              </w:rPr>
              <w:t xml:space="preserve">Należności </w:t>
            </w:r>
            <w:r w:rsidRPr="00BE4ACA">
              <w:rPr>
                <w:sz w:val="20"/>
                <w:szCs w:val="20"/>
              </w:rPr>
              <w:t>wyceniane są w kwocie wymagalnej zapłaty łącznie z wymagalnymi odsetkami w wysokości netto</w:t>
            </w:r>
            <w:r w:rsidR="006353D4">
              <w:rPr>
                <w:sz w:val="20"/>
                <w:szCs w:val="20"/>
              </w:rPr>
              <w:t>.</w:t>
            </w:r>
          </w:p>
          <w:p w:rsidR="004B68F9" w:rsidRPr="00BE4ACA" w:rsidRDefault="004B68F9" w:rsidP="004B68F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b/>
                <w:sz w:val="20"/>
                <w:szCs w:val="20"/>
              </w:rPr>
              <w:t xml:space="preserve">Zobowiązania </w:t>
            </w:r>
            <w:r w:rsidRPr="00BE4ACA">
              <w:rPr>
                <w:sz w:val="20"/>
                <w:szCs w:val="20"/>
              </w:rPr>
              <w:t>w kwocie wymagalnej zapłaty wraz z należnymi odsetkami.</w:t>
            </w:r>
          </w:p>
          <w:p w:rsidR="004B68F9" w:rsidRPr="00BE4ACA" w:rsidRDefault="00193C52" w:rsidP="004B68F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b/>
                <w:sz w:val="20"/>
                <w:szCs w:val="20"/>
              </w:rPr>
              <w:t xml:space="preserve">Środki pieniężne </w:t>
            </w:r>
            <w:r w:rsidRPr="00BE4ACA">
              <w:rPr>
                <w:sz w:val="20"/>
                <w:szCs w:val="20"/>
              </w:rPr>
              <w:t>według wartości nominalnej.</w:t>
            </w:r>
          </w:p>
          <w:p w:rsidR="00193C52" w:rsidRPr="00BE4ACA" w:rsidRDefault="00193C52" w:rsidP="004B68F9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b/>
                <w:sz w:val="20"/>
                <w:szCs w:val="20"/>
              </w:rPr>
              <w:t xml:space="preserve">Rzeczowe składniki majątku obrotowego </w:t>
            </w:r>
            <w:r w:rsidRPr="00BE4ACA">
              <w:rPr>
                <w:sz w:val="20"/>
                <w:szCs w:val="20"/>
              </w:rPr>
              <w:t>według cen nabycia.</w:t>
            </w:r>
          </w:p>
          <w:p w:rsidR="00193C52" w:rsidRPr="00B24B1A" w:rsidRDefault="00193C52" w:rsidP="00193C52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B1A">
              <w:rPr>
                <w:b/>
                <w:sz w:val="20"/>
                <w:szCs w:val="20"/>
              </w:rPr>
              <w:t>Rozliczenie międzyokresowe</w:t>
            </w:r>
            <w:r w:rsidRPr="00B24B1A">
              <w:rPr>
                <w:sz w:val="20"/>
                <w:szCs w:val="20"/>
              </w:rPr>
              <w:t xml:space="preserve"> </w:t>
            </w:r>
            <w:r w:rsidRPr="00B24B1A">
              <w:rPr>
                <w:b/>
                <w:sz w:val="20"/>
                <w:szCs w:val="20"/>
              </w:rPr>
              <w:t xml:space="preserve">kosztów </w:t>
            </w:r>
            <w:r w:rsidR="00B24B1A" w:rsidRPr="00B24B1A">
              <w:rPr>
                <w:sz w:val="20"/>
                <w:szCs w:val="20"/>
              </w:rPr>
              <w:t xml:space="preserve"> mające wartość nieistotną </w:t>
            </w:r>
            <w:r w:rsidRPr="00B24B1A">
              <w:rPr>
                <w:sz w:val="20"/>
                <w:szCs w:val="20"/>
              </w:rPr>
              <w:t xml:space="preserve"> nie są rozliczane w czasie lecz od razu powiększają koszty działalności.</w:t>
            </w:r>
          </w:p>
          <w:p w:rsidR="009A3011" w:rsidRPr="00BE4ACA" w:rsidRDefault="009A3011" w:rsidP="009A3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B1A">
              <w:rPr>
                <w:sz w:val="20"/>
                <w:szCs w:val="20"/>
              </w:rPr>
              <w:t xml:space="preserve"> </w:t>
            </w:r>
            <w:r w:rsidR="00594518" w:rsidRPr="00B24B1A">
              <w:rPr>
                <w:sz w:val="20"/>
                <w:szCs w:val="20"/>
              </w:rPr>
              <w:t>W</w:t>
            </w:r>
            <w:r w:rsidRPr="00B24B1A">
              <w:rPr>
                <w:sz w:val="20"/>
                <w:szCs w:val="20"/>
              </w:rPr>
              <w:t>ysokość stawek amortyzacyjnych dla wszystkich</w:t>
            </w:r>
            <w:r w:rsidRPr="00BE4ACA">
              <w:rPr>
                <w:sz w:val="20"/>
                <w:szCs w:val="20"/>
              </w:rPr>
              <w:t xml:space="preserve"> grup podstawowych środków trwałych (z wyjątkiem gruntów) </w:t>
            </w:r>
            <w:r w:rsidR="00594518">
              <w:rPr>
                <w:sz w:val="20"/>
                <w:szCs w:val="20"/>
              </w:rPr>
              <w:t>ustalona</w:t>
            </w:r>
            <w:r w:rsidR="00B24B1A">
              <w:rPr>
                <w:sz w:val="20"/>
                <w:szCs w:val="20"/>
              </w:rPr>
              <w:t xml:space="preserve"> jest</w:t>
            </w:r>
            <w:r w:rsidR="00594518">
              <w:rPr>
                <w:sz w:val="20"/>
                <w:szCs w:val="20"/>
              </w:rPr>
              <w:t xml:space="preserve"> </w:t>
            </w:r>
            <w:r w:rsidRPr="00BE4ACA">
              <w:rPr>
                <w:sz w:val="20"/>
                <w:szCs w:val="20"/>
              </w:rPr>
              <w:t xml:space="preserve">na poziomie stawek </w:t>
            </w:r>
            <w:r w:rsidR="00D44565" w:rsidRPr="00BE4ACA">
              <w:rPr>
                <w:sz w:val="20"/>
                <w:szCs w:val="20"/>
              </w:rPr>
              <w:t>zamieszczonych w załączniku nr 1 do ustawy z dnia 15 lutego 1992 o podatku dochodowym od osób prawnych.</w:t>
            </w:r>
          </w:p>
          <w:p w:rsidR="00D44565" w:rsidRPr="00BE4ACA" w:rsidRDefault="00D44565" w:rsidP="009A3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sz w:val="20"/>
                <w:szCs w:val="20"/>
              </w:rPr>
              <w:t>Odpisów amortyzacyjnych dokonuje się jednorazowo na koniec roku obrotowego. Odpisów umorzeniowych dokonuje się począwszy od miesiąca następującego po miesiącu przyjęcia podstawowego środka trwałego do używania.</w:t>
            </w:r>
            <w:r w:rsidR="00B24B1A">
              <w:rPr>
                <w:sz w:val="20"/>
                <w:szCs w:val="20"/>
              </w:rPr>
              <w:t xml:space="preserve"> </w:t>
            </w:r>
            <w:r w:rsidRPr="00BE4ACA">
              <w:rPr>
                <w:sz w:val="20"/>
                <w:szCs w:val="20"/>
              </w:rPr>
              <w:t>Przyjmuje się do wszystkich podstawowych środków trwałych liniową metodę amortyzacji.</w:t>
            </w:r>
          </w:p>
          <w:p w:rsidR="00594518" w:rsidRDefault="00B24B1A" w:rsidP="009A3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 materialne i prawne o wartości początkowej powyżej 10.000 zł umarza się  w okresie 24 miesięcy.</w:t>
            </w:r>
          </w:p>
          <w:p w:rsidR="00D44565" w:rsidRPr="00BE4ACA" w:rsidRDefault="00D44565" w:rsidP="009A30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ACA">
              <w:rPr>
                <w:sz w:val="20"/>
                <w:szCs w:val="20"/>
              </w:rPr>
              <w:t xml:space="preserve">Pozostałe środki trwałe </w:t>
            </w:r>
            <w:r w:rsidR="00594518">
              <w:rPr>
                <w:sz w:val="20"/>
                <w:szCs w:val="20"/>
              </w:rPr>
              <w:t xml:space="preserve">i pozostałe wartości niematerialne i prawne </w:t>
            </w:r>
            <w:r w:rsidRPr="00BE4ACA">
              <w:rPr>
                <w:sz w:val="20"/>
                <w:szCs w:val="20"/>
              </w:rPr>
              <w:t xml:space="preserve">to takie, które wartość początkowa, nie przekracza kwoty wymienionej w ustawie z dnia  15 luty 1992 o podatku dochodowym od osób prawnych. Finansuje się je ze środków na bieżące wydatki. Dla pozostałych środków trwałych </w:t>
            </w:r>
            <w:r w:rsidR="00594518">
              <w:rPr>
                <w:sz w:val="20"/>
                <w:szCs w:val="20"/>
              </w:rPr>
              <w:t xml:space="preserve">i dla pozostałych wartości niematerialnych i prawnych </w:t>
            </w:r>
            <w:r w:rsidRPr="00BE4ACA">
              <w:rPr>
                <w:sz w:val="20"/>
                <w:szCs w:val="20"/>
              </w:rPr>
              <w:t>dokonuje się 100 % odpisów amortyzacyjnych w momencie oddania do użytkowania.</w:t>
            </w:r>
          </w:p>
          <w:p w:rsidR="004B68F9" w:rsidRDefault="00F549C9" w:rsidP="00B24B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4ACA">
              <w:rPr>
                <w:color w:val="000000"/>
                <w:sz w:val="20"/>
                <w:szCs w:val="20"/>
              </w:rPr>
              <w:t>Ustalona metoda amortyzacji pozostaje niezmienna przez cały okres użytkowania.</w:t>
            </w:r>
          </w:p>
          <w:p w:rsidR="00EB44BB" w:rsidRPr="00F549C9" w:rsidRDefault="00EB44BB" w:rsidP="00B24B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10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6B1368">
            <w:pPr>
              <w:widowControl w:val="0"/>
              <w:autoSpaceDE w:val="0"/>
              <w:autoSpaceDN w:val="0"/>
              <w:adjustRightInd w:val="0"/>
            </w:pPr>
            <w:r>
              <w:t>Według załącznika Nr 1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 w:rsidR="00EB44BB"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6B1368">
            <w:pPr>
              <w:widowControl w:val="0"/>
              <w:autoSpaceDE w:val="0"/>
              <w:autoSpaceDN w:val="0"/>
              <w:adjustRightInd w:val="0"/>
            </w:pPr>
            <w:r>
              <w:t>Brak danych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6B1368">
            <w:pPr>
              <w:widowControl w:val="0"/>
              <w:autoSpaceDE w:val="0"/>
              <w:autoSpaceDN w:val="0"/>
              <w:adjustRightInd w:val="0"/>
            </w:pPr>
            <w:r>
              <w:t>Nie wystąpiły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EB44BB" w:rsidTr="00EB44B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4" w:space="0" w:color="auto"/>
              <w:right w:val="single" w:sz="6" w:space="0" w:color="2E2014"/>
            </w:tcBorders>
          </w:tcPr>
          <w:p w:rsidR="00EB44BB" w:rsidRDefault="00EB44B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4" w:space="0" w:color="auto"/>
              <w:right w:val="single" w:sz="6" w:space="0" w:color="2E2014"/>
            </w:tcBorders>
          </w:tcPr>
          <w:p w:rsidR="00EB44BB" w:rsidRDefault="00EB44BB" w:rsidP="00EB44B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right="40"/>
              <w:rPr>
                <w:color w:val="2E2014"/>
                <w:sz w:val="20"/>
                <w:szCs w:val="20"/>
              </w:rPr>
            </w:pPr>
            <w:r>
              <w:t>Nie wystąpiły</w:t>
            </w:r>
          </w:p>
        </w:tc>
      </w:tr>
      <w:tr w:rsidR="00062D81" w:rsidTr="00EB44B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4" w:space="0" w:color="auto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4" w:space="0" w:color="auto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</w:p>
        </w:tc>
      </w:tr>
      <w:tr w:rsidR="00C74490" w:rsidTr="00EB44BB">
        <w:trPr>
          <w:trHeight w:hRule="exact"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E7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E76131">
            <w:pPr>
              <w:widowControl w:val="0"/>
              <w:autoSpaceDE w:val="0"/>
              <w:autoSpaceDN w:val="0"/>
              <w:adjustRightInd w:val="0"/>
            </w:pPr>
            <w:r>
              <w:t>Nie wystąpiły</w:t>
            </w:r>
          </w:p>
        </w:tc>
      </w:tr>
      <w:tr w:rsidR="00C74490" w:rsidTr="00EB44BB">
        <w:trPr>
          <w:trHeight w:hRule="exact" w:val="583"/>
        </w:trPr>
        <w:tc>
          <w:tcPr>
            <w:tcW w:w="680" w:type="dxa"/>
            <w:tcBorders>
              <w:top w:val="single" w:sz="4" w:space="0" w:color="auto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C74490" w:rsidTr="00547571">
        <w:trPr>
          <w:trHeight w:hRule="exact" w:val="72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 w:rsidP="00B24B1A">
            <w:pPr>
              <w:widowControl w:val="0"/>
              <w:autoSpaceDE w:val="0"/>
              <w:autoSpaceDN w:val="0"/>
              <w:adjustRightInd w:val="0"/>
            </w:pPr>
            <w:r>
              <w:t xml:space="preserve">Nie występują </w:t>
            </w:r>
          </w:p>
          <w:p w:rsidR="00C74490" w:rsidRDefault="00C74490" w:rsidP="00B24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49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C74490" w:rsidTr="00173FF6">
        <w:trPr>
          <w:trHeight w:val="4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right w:val="single" w:sz="6" w:space="0" w:color="2E2014"/>
            </w:tcBorders>
          </w:tcPr>
          <w:p w:rsidR="00C74490" w:rsidRDefault="00C74490" w:rsidP="00E7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Pr="00C74490" w:rsidRDefault="00C74490" w:rsidP="00C74490">
            <w:pPr>
              <w:widowControl w:val="0"/>
              <w:autoSpaceDE w:val="0"/>
              <w:autoSpaceDN w:val="0"/>
              <w:adjustRightInd w:val="0"/>
            </w:pPr>
            <w:r w:rsidRPr="00C74490">
              <w:t>Nie występują</w:t>
            </w:r>
          </w:p>
        </w:tc>
      </w:tr>
      <w:tr w:rsidR="00C7449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EB44BB">
            <w:pPr>
              <w:widowControl w:val="0"/>
              <w:autoSpaceDE w:val="0"/>
              <w:autoSpaceDN w:val="0"/>
              <w:adjustRightInd w:val="0"/>
            </w:pPr>
            <w:r w:rsidRPr="00C74490">
              <w:t>Nie występują</w:t>
            </w:r>
          </w:p>
        </w:tc>
      </w:tr>
      <w:tr w:rsidR="00C7449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 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występują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występują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występują</w:t>
            </w:r>
          </w:p>
        </w:tc>
      </w:tr>
      <w:tr w:rsidR="00C7449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Pr="00303A94" w:rsidRDefault="006353D4" w:rsidP="007E17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2</w:t>
            </w:r>
            <w:r w:rsidR="007E1738">
              <w:t> 759 404,09</w:t>
            </w:r>
            <w:r w:rsidR="00C74490" w:rsidRPr="00607A1D">
              <w:t xml:space="preserve"> zł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C74490">
        <w:trPr>
          <w:trHeight w:hRule="exact" w:val="3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6353D4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t xml:space="preserve">Nie dotyczy </w:t>
            </w:r>
          </w:p>
        </w:tc>
      </w:tr>
      <w:tr w:rsidR="00C7449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C7449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C7449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C74490" w:rsidRDefault="00C7449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062D81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062D81" w:rsidRDefault="00062D81"/>
    <w:sectPr w:rsidR="00062D81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B5" w:rsidRDefault="001621B5" w:rsidP="00F549C9">
      <w:r>
        <w:separator/>
      </w:r>
    </w:p>
  </w:endnote>
  <w:endnote w:type="continuationSeparator" w:id="0">
    <w:p w:rsidR="001621B5" w:rsidRDefault="001621B5" w:rsidP="00F5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B5" w:rsidRDefault="001621B5" w:rsidP="00F549C9">
      <w:r>
        <w:separator/>
      </w:r>
    </w:p>
  </w:footnote>
  <w:footnote w:type="continuationSeparator" w:id="0">
    <w:p w:rsidR="001621B5" w:rsidRDefault="001621B5" w:rsidP="00F5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696"/>
    <w:multiLevelType w:val="hybridMultilevel"/>
    <w:tmpl w:val="B968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E"/>
    <w:rsid w:val="00062D81"/>
    <w:rsid w:val="000A05C1"/>
    <w:rsid w:val="000F609D"/>
    <w:rsid w:val="00132DCE"/>
    <w:rsid w:val="001621B5"/>
    <w:rsid w:val="00193C52"/>
    <w:rsid w:val="00264031"/>
    <w:rsid w:val="00303A94"/>
    <w:rsid w:val="00443D3B"/>
    <w:rsid w:val="0045682F"/>
    <w:rsid w:val="004B68F9"/>
    <w:rsid w:val="00506426"/>
    <w:rsid w:val="00547571"/>
    <w:rsid w:val="00562ED3"/>
    <w:rsid w:val="00594518"/>
    <w:rsid w:val="005B2830"/>
    <w:rsid w:val="00607A1D"/>
    <w:rsid w:val="006353D4"/>
    <w:rsid w:val="0064412A"/>
    <w:rsid w:val="006B1368"/>
    <w:rsid w:val="007B0F81"/>
    <w:rsid w:val="007E1738"/>
    <w:rsid w:val="0093379C"/>
    <w:rsid w:val="009A3011"/>
    <w:rsid w:val="009E4452"/>
    <w:rsid w:val="00AB7EEC"/>
    <w:rsid w:val="00B24B1A"/>
    <w:rsid w:val="00B31D41"/>
    <w:rsid w:val="00B836F1"/>
    <w:rsid w:val="00BE4ACA"/>
    <w:rsid w:val="00BE77E3"/>
    <w:rsid w:val="00C66798"/>
    <w:rsid w:val="00C74490"/>
    <w:rsid w:val="00D44565"/>
    <w:rsid w:val="00DF3E3E"/>
    <w:rsid w:val="00E4266C"/>
    <w:rsid w:val="00EB38B2"/>
    <w:rsid w:val="00EB44BB"/>
    <w:rsid w:val="00F04EBC"/>
    <w:rsid w:val="00F549C9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9"/>
    <w:rPr>
      <w:sz w:val="24"/>
      <w:szCs w:val="24"/>
    </w:rPr>
  </w:style>
  <w:style w:type="paragraph" w:styleId="Bezodstpw">
    <w:name w:val="No Spacing"/>
    <w:uiPriority w:val="1"/>
    <w:qFormat/>
    <w:rsid w:val="007B0F8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9"/>
    <w:rPr>
      <w:sz w:val="24"/>
      <w:szCs w:val="24"/>
    </w:rPr>
  </w:style>
  <w:style w:type="paragraph" w:styleId="Bezodstpw">
    <w:name w:val="No Spacing"/>
    <w:uiPriority w:val="1"/>
    <w:qFormat/>
    <w:rsid w:val="007B0F8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D6CC-71B6-462F-BA51-1BE0DAB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pc</cp:lastModifiedBy>
  <cp:revision>2</cp:revision>
  <cp:lastPrinted>2019-04-24T08:02:00Z</cp:lastPrinted>
  <dcterms:created xsi:type="dcterms:W3CDTF">2019-06-21T11:24:00Z</dcterms:created>
  <dcterms:modified xsi:type="dcterms:W3CDTF">2019-06-21T11:24:00Z</dcterms:modified>
</cp:coreProperties>
</file>